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176" w:right="1354"/>
        <w:contextualSpacing w:val="0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CONTRATO SOCIAL NOS TERMOS DA LEI </w:t>
      </w:r>
    </w:p>
    <w:p w:rsidR="00000000" w:rsidDel="00000000" w:rsidP="00000000" w:rsidRDefault="00000000" w:rsidRPr="00000000" w14:paraId="00000003">
      <w:pPr>
        <w:ind w:left="1176" w:right="1354"/>
        <w:contextualSpacing w:val="0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1176" w:right="1354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10.406/02, DE SOCIEDADE SIMPLES LTDA.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98" w:lineRule="auto"/>
        <w:ind w:left="1165" w:right="1354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CONTRATO SOCIAL DA (COLOCAR DENOMINAÇÃO SOCIAL)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171" w:right="349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171" w:right="349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ind w:firstLine="708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FULANO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brasileiro, estado civil, profissão, Identidade nº , Órgão expedidor ______, CPF-MF, residente e domiciliado  na _______________________ (endereço completo, inclusive CEP);</w:t>
      </w:r>
    </w:p>
    <w:p w:rsidR="00000000" w:rsidDel="00000000" w:rsidP="00000000" w:rsidRDefault="00000000" w:rsidRPr="00000000" w14:paraId="0000000B">
      <w:pPr>
        <w:widowControl w:val="1"/>
        <w:ind w:firstLine="708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ind w:firstLine="708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BELTRANO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brasileiro, estado civil, profissão, Identidade nº , Órgão expedidor ______, CPF-MF, residente e domiciliado na _______________________ (endereço completo, inclusive CEP);</w:t>
      </w:r>
    </w:p>
    <w:p w:rsidR="00000000" w:rsidDel="00000000" w:rsidP="00000000" w:rsidRDefault="00000000" w:rsidRPr="00000000" w14:paraId="0000000D">
      <w:pPr>
        <w:widowControl w:val="1"/>
        <w:ind w:firstLine="708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ind w:firstLine="708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SICRANO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brasileiro, estado civil, profissão, Identidade nº , Órgão expedidor ______, CPF-MF, residente e domiciliado na _______________________ (endereço completo, inclusive CEP);</w:t>
      </w:r>
    </w:p>
    <w:p w:rsidR="00000000" w:rsidDel="00000000" w:rsidP="00000000" w:rsidRDefault="00000000" w:rsidRPr="00000000" w14:paraId="0000000F">
      <w:pPr>
        <w:widowControl w:val="1"/>
        <w:ind w:firstLine="708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ind w:firstLine="708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RESOLVEM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de comum acordo, por este instrumento particular, constituir uma SOCIEDADE SIMPLES LIMITADA, que reger-se-á pelas cláusulas e condições seguintes, e nas omissões, pela legislação especifica que disciplina essa forma societária.</w:t>
      </w:r>
    </w:p>
    <w:p w:rsidR="00000000" w:rsidDel="00000000" w:rsidP="00000000" w:rsidRDefault="00000000" w:rsidRPr="00000000" w14:paraId="00000011">
      <w:pPr>
        <w:pStyle w:val="Heading1"/>
        <w:spacing w:before="49" w:lineRule="auto"/>
        <w:ind w:left="142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spacing w:before="49" w:lineRule="auto"/>
        <w:ind w:left="142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 PRIMEIRA – DA DENOMINAÇÃO, SEDE E PRAZO (CC. ART. 997, II)</w:t>
      </w:r>
    </w:p>
    <w:p w:rsidR="00000000" w:rsidDel="00000000" w:rsidP="00000000" w:rsidRDefault="00000000" w:rsidRPr="00000000" w14:paraId="00000013">
      <w:pPr>
        <w:pStyle w:val="Heading1"/>
        <w:spacing w:before="49" w:lineRule="auto"/>
        <w:ind w:left="142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08" w:lineRule="auto"/>
        <w:ind w:left="171" w:right="455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presente sociedade girará sob a denominação/firma social de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(vide art. 997, inciso II, combinado   com 1.158, inciso II, do NCC)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e terá sede e domicilio na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(endereço completo: tipo, e nome do logradouro, número, complemento, bairro/distrito, município, Unidade Federativa e CEP. art. 997, II, do NCC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), tendo inicio de suas atividades na presente data, e seu prazo de duração será por tempo indeterminado,</w:t>
        <w:tab/>
        <w:t xml:space="preserve">podendo  a  qualquer  tempo,  abrir  ou  fechar  filial ou outra dependência, mediante alteração contratual assinada por todos os sócios.</w:t>
      </w:r>
    </w:p>
    <w:p w:rsidR="00000000" w:rsidDel="00000000" w:rsidP="00000000" w:rsidRDefault="00000000" w:rsidRPr="00000000" w14:paraId="00000015">
      <w:pPr>
        <w:pStyle w:val="Heading1"/>
        <w:spacing w:before="142" w:lineRule="auto"/>
        <w:ind w:left="142" w:right="135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spacing w:before="142" w:lineRule="auto"/>
        <w:ind w:left="142" w:right="135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 SEGUNDA – DO OBJETO SOCIAL (CC. ART. 997, II)</w:t>
      </w:r>
    </w:p>
    <w:p w:rsidR="00000000" w:rsidDel="00000000" w:rsidP="00000000" w:rsidRDefault="00000000" w:rsidRPr="00000000" w14:paraId="00000017">
      <w:pPr>
        <w:pStyle w:val="Heading1"/>
        <w:spacing w:before="142" w:lineRule="auto"/>
        <w:ind w:left="142" w:right="1351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46" w:lineRule="auto"/>
        <w:ind w:left="257"/>
        <w:contextualSpacing w:val="0"/>
        <w:jc w:val="both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sociedade terá como o objetivo social a prestação de serviços de: 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(o objeto deverá ser claro, detalhado e preciso).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spacing w:before="121" w:lineRule="auto"/>
        <w:ind w:left="142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TERCEIRA – DO CAPITAL SOCIAL (CC. ART. 997, III e IV) </w:t>
      </w:r>
    </w:p>
    <w:p w:rsidR="00000000" w:rsidDel="00000000" w:rsidP="00000000" w:rsidRDefault="00000000" w:rsidRPr="00000000" w14:paraId="0000001B">
      <w:pPr>
        <w:pStyle w:val="Heading1"/>
        <w:spacing w:before="121" w:lineRule="auto"/>
        <w:ind w:left="142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85" w:lineRule="auto"/>
        <w:ind w:left="171" w:right="359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capital social é de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(vide art. 997, inciso III do NCC)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totalmente subscrito e integralizado em moeda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corrente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nacional, dividido em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(colocar numero de quotas) quotas no valor de (colocar valor correspondente)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cada uma e com a seguinte distribuição: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5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0.0" w:type="dxa"/>
        <w:jc w:val="left"/>
        <w:tblInd w:w="103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861"/>
        <w:gridCol w:w="3005"/>
        <w:gridCol w:w="3034"/>
        <w:tblGridChange w:id="0">
          <w:tblGrid>
            <w:gridCol w:w="2861"/>
            <w:gridCol w:w="3005"/>
            <w:gridCol w:w="3034"/>
          </w:tblGrid>
        </w:tblGridChange>
      </w:tblGrid>
      <w:tr>
        <w:trPr>
          <w:trHeight w:val="420" w:hRule="atLeast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0" w:hanging="57"/>
              <w:contextualSpacing w:val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nome do sócio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0" w:hanging="57"/>
              <w:contextualSpacing w:val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número de quotas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0" w:hanging="57"/>
              <w:contextualSpacing w:val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Valor</w:t>
            </w:r>
          </w:p>
        </w:tc>
      </w:tr>
      <w:tr>
        <w:trPr>
          <w:trHeight w:val="420" w:hRule="atLeast"/>
        </w:trPr>
        <w:tc>
          <w:tcPr/>
          <w:p w:rsidR="00000000" w:rsidDel="00000000" w:rsidP="00000000" w:rsidRDefault="00000000" w:rsidRPr="00000000" w14:paraId="00000021">
            <w:pPr>
              <w:contextualSpacing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contextualSpacing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contextualSpacing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/>
          <w:p w:rsidR="00000000" w:rsidDel="00000000" w:rsidP="00000000" w:rsidRDefault="00000000" w:rsidRPr="00000000" w14:paraId="00000024">
            <w:pPr>
              <w:contextualSpacing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contextualSpacing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contextualSpacing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0" w:hanging="57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Geral</w:t>
            </w:r>
          </w:p>
        </w:tc>
        <w:tc>
          <w:tcPr/>
          <w:p w:rsidR="00000000" w:rsidDel="00000000" w:rsidP="00000000" w:rsidRDefault="00000000" w:rsidRPr="00000000" w14:paraId="00000028">
            <w:pPr>
              <w:contextualSpacing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contextualSpacing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spacing w:before="1" w:lineRule="auto"/>
        <w:ind w:left="142" w:right="135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QUARTA – DA ADMINISTRAÇÃO (CC. ART. 997, VI e ART. 46, III)</w:t>
      </w:r>
    </w:p>
    <w:p w:rsidR="00000000" w:rsidDel="00000000" w:rsidP="00000000" w:rsidRDefault="00000000" w:rsidRPr="00000000" w14:paraId="0000002C">
      <w:pPr>
        <w:pStyle w:val="Heading1"/>
        <w:spacing w:before="1" w:lineRule="auto"/>
        <w:ind w:left="142" w:right="1351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" w:line="240" w:lineRule="auto"/>
        <w:ind w:left="113" w:right="127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administração da sociedade caberá a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indicar a (s) pessoa(s) natural (is) que administrará (ão) a sociedade, com a devida qualificação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em conjunto ou isoladamente, respondendo pelos atos societários e sua representação ativa e passivamente, judicial e extrajudicialmente, podendo praticar os atos compreendidos no objeto social, sempre no interesse da sociedade, ficando vedado o uso da denominação social em negócios estranhos aos fins sociais, bem com onerar ou alienar bens imóveis da sociedade, sem autorização do(s) outro(s) sócio(s).</w:t>
      </w:r>
    </w:p>
    <w:p w:rsidR="00000000" w:rsidDel="00000000" w:rsidP="00000000" w:rsidRDefault="00000000" w:rsidRPr="00000000" w14:paraId="0000002E">
      <w:pPr>
        <w:pStyle w:val="Heading1"/>
        <w:ind w:left="0" w:right="1332"/>
        <w:contextualSpacing w:val="0"/>
        <w:jc w:val="both"/>
        <w:rPr>
          <w:rFonts w:ascii="Calibri" w:cs="Calibri" w:eastAsia="Calibri" w:hAnsi="Calibri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ind w:left="142" w:right="1332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QUINTA – DA DECLARAÇÃO DE DESIMPEDIMENTO DO ADMINISTRADOR</w:t>
      </w:r>
    </w:p>
    <w:p w:rsidR="00000000" w:rsidDel="00000000" w:rsidP="00000000" w:rsidRDefault="00000000" w:rsidRPr="00000000" w14:paraId="00000030">
      <w:pPr>
        <w:pStyle w:val="Heading1"/>
        <w:ind w:left="142" w:right="1332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171" w:right="363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(s) Administrador (es) declara (m), sob as penas da lei, de que não est(ão) impedidos de exercer a administração da sociedade, por lei especial, ou em virtude de condenação criminal, ou por se encontrar(em) sob os efeitos dela, a pena que vede, ainda que temporariamente, o acesso a cargos públicos; ou por crime falimentar, de prevaricação, peita ou suborno, concussão, peculato, ou contra a economia popular, contra o sistema financeiro nacional, contra normas de defesa da concorrência, contra as relações de consumo, fé pública, ou a propriedade, nos termos do Código Civil, art. 1.011, parágrafo primeiro.</w:t>
      </w:r>
    </w:p>
    <w:p w:rsidR="00000000" w:rsidDel="00000000" w:rsidP="00000000" w:rsidRDefault="00000000" w:rsidRPr="00000000" w14:paraId="00000032">
      <w:pPr>
        <w:pStyle w:val="Heading1"/>
        <w:spacing w:before="105" w:lineRule="auto"/>
        <w:ind w:left="0" w:right="1332"/>
        <w:contextualSpacing w:val="0"/>
        <w:jc w:val="both"/>
        <w:rPr>
          <w:rFonts w:ascii="Calibri" w:cs="Calibri" w:eastAsia="Calibri" w:hAnsi="Calibri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spacing w:before="105" w:lineRule="auto"/>
        <w:ind w:left="142" w:right="1332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SEXTA – DOS BALANÇOS E DOS RESULTADOS (CC. ART. 997, VII)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" w:line="240" w:lineRule="auto"/>
        <w:ind w:left="171" w:right="359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" w:line="240" w:lineRule="auto"/>
        <w:ind w:left="171" w:right="359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Ao término da cada exercício social, em 31 de dezembro, o administrador prestará contas justificadas de sua administração, procedendo à elaboração do inventário, do balanço patrimonial e do balanço de resultado econômico, cabendo aos sócios, na proporção de suas quotas, os lucros ou perdas apurados.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1" w:right="455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Primeiro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Nos quatro meses seguintes ao término do exercício social, os sócios deliberarão sobre as contas e designarão administrador (es) quando for o caso, averbando a respectiva ata junto ao registro competente.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1" w:right="41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Os sócios poderão, de comum acordo, fixar uma retirada mensal, a título de “pro labore”, observadas as disposições regulamentares pertinentes.</w:t>
      </w:r>
    </w:p>
    <w:p w:rsidR="00000000" w:rsidDel="00000000" w:rsidP="00000000" w:rsidRDefault="00000000" w:rsidRPr="00000000" w14:paraId="0000003A">
      <w:pPr>
        <w:pStyle w:val="Heading1"/>
        <w:spacing w:before="143" w:lineRule="auto"/>
        <w:ind w:left="0" w:right="134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1"/>
        <w:spacing w:before="143" w:lineRule="auto"/>
        <w:ind w:left="142" w:right="134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1"/>
        <w:spacing w:before="143" w:lineRule="auto"/>
        <w:ind w:left="142" w:right="134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SÉTIMA – DAS QUOTAS</w:t>
      </w:r>
    </w:p>
    <w:p w:rsidR="00000000" w:rsidDel="00000000" w:rsidP="00000000" w:rsidRDefault="00000000" w:rsidRPr="00000000" w14:paraId="0000003D">
      <w:pPr>
        <w:pStyle w:val="Heading1"/>
        <w:spacing w:before="143" w:lineRule="auto"/>
        <w:ind w:left="0" w:right="1341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" w:line="240" w:lineRule="auto"/>
        <w:ind w:left="171" w:right="353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quotas são indivisíveis e não poderão ser cedidas ou transferidas a terceiros sem o consentimento do outro sócio, a quem fica assegurado, em igualdade de condições e preço direito de preferência para a sua aquisição se postas à venda, formalizando, se realizada a cessão delas, a alteração contratual pertinente.</w:t>
      </w:r>
    </w:p>
    <w:p w:rsidR="00000000" w:rsidDel="00000000" w:rsidP="00000000" w:rsidRDefault="00000000" w:rsidRPr="00000000" w14:paraId="0000003F">
      <w:pPr>
        <w:spacing w:before="76" w:lineRule="auto"/>
        <w:ind w:left="171" w:right="1248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Parágrafo Único-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 caso de um dos sócios desejar retirar-se da sociedade, deverá notificar o outro (s) sócio (s) por escrito, com antecedência mínima de 60 (sessenta) dias, e ...... </w:t>
      </w:r>
    </w:p>
    <w:p w:rsidR="00000000" w:rsidDel="00000000" w:rsidP="00000000" w:rsidRDefault="00000000" w:rsidRPr="00000000" w14:paraId="00000040">
      <w:pPr>
        <w:spacing w:before="76" w:lineRule="auto"/>
        <w:ind w:left="171" w:right="1248"/>
        <w:contextualSpacing w:val="0"/>
        <w:jc w:val="both"/>
        <w:rPr>
          <w:rFonts w:ascii="Calibri" w:cs="Calibri" w:eastAsia="Calibri" w:hAnsi="Calibri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before="76" w:lineRule="auto"/>
        <w:ind w:left="171" w:right="1248"/>
        <w:contextualSpacing w:val="0"/>
        <w:jc w:val="both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highlight w:val="yellow"/>
          <w:u w:val="single"/>
          <w:rtl w:val="0"/>
        </w:rPr>
        <w:t xml:space="preserve">Sugestão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u w:val="single"/>
          <w:rtl w:val="0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seus haveres, apurados em balanço</w:t>
      </w:r>
    </w:p>
    <w:p w:rsidR="00000000" w:rsidDel="00000000" w:rsidP="00000000" w:rsidRDefault="00000000" w:rsidRPr="00000000" w14:paraId="00000042">
      <w:pPr>
        <w:spacing w:before="73" w:lineRule="auto"/>
        <w:ind w:left="111"/>
        <w:contextualSpacing w:val="0"/>
        <w:jc w:val="both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especial, serão pagos em 20 (vinte) prestações iguais e sucessivas, vencendo-se a primeira após 60 (sessenta) dias da data do balanço especial.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before="98" w:lineRule="auto"/>
        <w:ind w:left="197" w:right="20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CLÁUSULA OITAVA – DA RESPONSABILIDADE PELAS OBRIGAÇÕES SOCIAIS (CC, ART. 997, VIII)</w:t>
      </w:r>
    </w:p>
    <w:p w:rsidR="00000000" w:rsidDel="00000000" w:rsidP="00000000" w:rsidRDefault="00000000" w:rsidRPr="00000000" w14:paraId="00000046">
      <w:pPr>
        <w:spacing w:before="98" w:lineRule="auto"/>
        <w:ind w:left="197" w:right="20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142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Os sócios não respondem subsidiariamente pelas obrigações sociais, mas tão-somente pelo   </w:t>
      </w:r>
    </w:p>
    <w:p w:rsidR="00000000" w:rsidDel="00000000" w:rsidP="00000000" w:rsidRDefault="00000000" w:rsidRPr="00000000" w14:paraId="00000048">
      <w:pPr>
        <w:ind w:left="142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valor de sua cota de capital.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before="98" w:lineRule="auto"/>
        <w:ind w:left="197" w:right="20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CLÁUSULA NONA – DA CONTINUIDADE DA SOCIEDADE NO CASO DE FALECIMENTO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before="46" w:lineRule="auto"/>
        <w:ind w:left="11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before="46" w:lineRule="auto"/>
        <w:ind w:left="11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yellow"/>
          <w:u w:val="single"/>
          <w:rtl w:val="0"/>
        </w:rPr>
        <w:t xml:space="preserve">Sugestões: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before="85" w:lineRule="auto"/>
        <w:ind w:left="111" w:right="144"/>
        <w:contextualSpacing w:val="0"/>
        <w:jc w:val="both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Falecendo ou interditado qualquer sócio, a sociedade continuará suas atividades com os herdeiros, sucessores e o incapaz. Não sendo possível ou inexistindo interesse destes ou do(s) sócio(s) remanescente(s), o valor de seus haveres será apurado e liquidado com base na situação patrimonial da sociedade, à data da resolução, verificada em balanço especialmente levantado, e serão............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Sugestão - pagos em 20 (vinte) prestações iguais e sucessivas, vencendo-se a primeira após 60 (sessenta) dias da data do balanço especial.</w:t>
      </w:r>
    </w:p>
    <w:p w:rsidR="00000000" w:rsidDel="00000000" w:rsidP="00000000" w:rsidRDefault="00000000" w:rsidRPr="00000000" w14:paraId="0000004F">
      <w:pPr>
        <w:spacing w:before="1" w:lineRule="auto"/>
        <w:ind w:left="111"/>
        <w:contextualSpacing w:val="0"/>
        <w:jc w:val="both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u w:val="single"/>
          <w:rtl w:val="0"/>
        </w:rPr>
        <w:t xml:space="preserve">Obs. - Verificar demais opções entre os arts. 1028 ao 1038 da Lei 10.406/02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before="99" w:lineRule="auto"/>
        <w:ind w:left="197" w:right="20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widowControl w:val="1"/>
        <w:ind w:left="142"/>
        <w:contextualSpacing w:val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CLÁUSULA DÉCIMA - DAS DELIBERAÇÕES SOCIAIS (CC, ART. 46, IV)</w:t>
      </w:r>
    </w:p>
    <w:p w:rsidR="00000000" w:rsidDel="00000000" w:rsidP="00000000" w:rsidRDefault="00000000" w:rsidRPr="00000000" w14:paraId="00000053">
      <w:pPr>
        <w:widowControl w:val="1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1"/>
        <w:ind w:left="142"/>
        <w:contextualSpacing w:val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 alterações deste contrato dependerão da aprovação unânime dos sócios; outras deliberações sociais, inclusive, quanto a venda e oneração de imóveis, serão tomadas pela maioria absoluta de votos.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(Obs.: Se quiserem, os sócios poderão ajustar quorum maior que a maioria absoluta – 2/3, ¾,  etc. – como faculta o art. 999 do Código Civil.)</w:t>
      </w:r>
    </w:p>
    <w:p w:rsidR="00000000" w:rsidDel="00000000" w:rsidP="00000000" w:rsidRDefault="00000000" w:rsidRPr="00000000" w14:paraId="00000055">
      <w:pPr>
        <w:spacing w:before="99" w:lineRule="auto"/>
        <w:ind w:left="197" w:right="20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Style w:val="Heading1"/>
        <w:spacing w:before="102" w:lineRule="auto"/>
        <w:ind w:left="197" w:right="21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spacing w:before="102" w:lineRule="auto"/>
        <w:ind w:left="197" w:right="21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1"/>
        <w:spacing w:before="102" w:lineRule="auto"/>
        <w:ind w:left="197" w:right="21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1"/>
        <w:spacing w:before="102" w:lineRule="auto"/>
        <w:ind w:left="197" w:right="211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DÉCIMA PRIMEIRA – DA EXCLUSÃO DE SÓCIO</w:t>
      </w:r>
    </w:p>
    <w:p w:rsidR="00000000" w:rsidDel="00000000" w:rsidP="00000000" w:rsidRDefault="00000000" w:rsidRPr="00000000" w14:paraId="0000005A">
      <w:pPr>
        <w:pStyle w:val="Heading1"/>
        <w:spacing w:before="102" w:lineRule="auto"/>
        <w:ind w:left="197" w:right="211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111" w:right="142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decisão de quotista que representem a maioria do Capital Social, poderá ser determinada a exclusão por justa causa de sócios do quadro social, nos termos do artigo nº 1.085, da Lei 10.406/02.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111" w:right="142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before="99" w:lineRule="auto"/>
        <w:ind w:left="197" w:right="20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CLÁUSULA DÉCIMA SEGUNDA – DAS CONDIÇÕES DE EXTINÇÃO DA SOCIEDADE E O DESTINO DO SEU PATRIMÔNIO (CC, ART. 46, VI)</w:t>
      </w:r>
    </w:p>
    <w:p w:rsidR="00000000" w:rsidDel="00000000" w:rsidP="00000000" w:rsidRDefault="00000000" w:rsidRPr="00000000" w14:paraId="0000005E">
      <w:pPr>
        <w:spacing w:before="99" w:lineRule="auto"/>
        <w:ind w:left="197" w:right="201"/>
        <w:contextualSpacing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sociedade se dissolverá nos termos do Código Civil, art. 1.033. O destino do patrimônio será deliberado por maioria dos sócios.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ou outro quórum, a critério dos sócios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1"/>
        <w:spacing w:before="103" w:lineRule="auto"/>
        <w:ind w:left="197" w:right="230"/>
        <w:contextualSpacing w:val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CLÁUSULA DECIMA TERCEIRA – DISPOSIÇÕES GERAIS</w:t>
      </w:r>
    </w:p>
    <w:p w:rsidR="00000000" w:rsidDel="00000000" w:rsidP="00000000" w:rsidRDefault="00000000" w:rsidRPr="00000000" w14:paraId="00000062">
      <w:pPr>
        <w:pStyle w:val="Heading1"/>
        <w:spacing w:before="103" w:lineRule="auto"/>
        <w:ind w:left="197" w:right="230"/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" w:line="240" w:lineRule="auto"/>
        <w:ind w:left="111" w:right="109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Todos os casos omissos serão regulados pela Lei 10.406/02, ficando eleito o foro da cidade de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Feira de Santana/BA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para dirimir, conhecer e decidir sobre quaisquer questões oriundas deste instrumento, excluindo-se qualquer outro por mais privilegiado que seja.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1" w:right="128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por assim estarem justos e contratados, as partes assinam o presente instrumento de Contrato Social, em 03 (três) vias, de igual forma e teor, e será levado a registro no Registro Civil de Pessoa Jurídica, nos termos dos arts. 998 e 1.150, da Lei 10.406/02.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12"/>
          <w:tab w:val="left" w:pos="2155"/>
          <w:tab w:val="left" w:pos="2848"/>
        </w:tabs>
        <w:spacing w:after="0" w:before="0" w:line="240" w:lineRule="auto"/>
        <w:ind w:left="197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Feira de Santana/BA, __/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_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ind w:left="720" w:hanging="360"/>
        <w:contextualSpacing w:val="1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Assinaturas com firma reconhecida dos sócios (semelhança ou autenticidade)</w:t>
      </w:r>
    </w:p>
    <w:p w:rsidR="00000000" w:rsidDel="00000000" w:rsidP="00000000" w:rsidRDefault="00000000" w:rsidRPr="00000000" w14:paraId="0000006B">
      <w:pPr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ind w:left="720" w:hanging="360"/>
        <w:contextualSpacing w:val="1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visto de advogado(a) e OAB (exceto se for microempresa ou empresa de pequeno porte, LC 123/2006)</w:t>
      </w:r>
    </w:p>
    <w:p w:rsidR="00000000" w:rsidDel="00000000" w:rsidP="00000000" w:rsidRDefault="00000000" w:rsidRPr="00000000" w14:paraId="0000006E">
      <w:pPr>
        <w:widowControl w:val="1"/>
        <w:spacing w:after="160" w:line="276" w:lineRule="auto"/>
        <w:ind w:left="-220" w:right="-220" w:firstLine="0"/>
        <w:contextualSpacing w:val="0"/>
        <w:jc w:val="both"/>
        <w:rPr>
          <w:b w:val="1"/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1"/>
        <w:spacing w:after="160" w:line="276" w:lineRule="auto"/>
        <w:ind w:left="-220" w:right="-220" w:firstLine="0"/>
        <w:contextualSpacing w:val="0"/>
        <w:jc w:val="both"/>
        <w:rPr>
          <w:b w:val="1"/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1"/>
        <w:spacing w:after="160" w:line="276" w:lineRule="auto"/>
        <w:ind w:left="-220" w:right="-220" w:firstLine="0"/>
        <w:contextualSpacing w:val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b w:val="1"/>
          <w:i w:val="1"/>
          <w:color w:val="333333"/>
          <w:sz w:val="21"/>
          <w:szCs w:val="21"/>
          <w:rtl w:val="0"/>
        </w:rPr>
        <w:t xml:space="preserve">obs.: 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rPr>
          <w:rtl w:val="0"/>
        </w:rPr>
      </w:r>
    </w:p>
    <w:sectPr>
      <w:pgSz w:h="16840" w:w="11900"/>
      <w:pgMar w:bottom="1134" w:top="1418" w:left="170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176" w:right="1354"/>
      <w:jc w:val="center"/>
    </w:pPr>
    <w:rPr>
      <w:b w:val="1"/>
      <w:sz w:val="16"/>
      <w:szCs w:val="1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